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9A" w:rsidRDefault="0012769A" w:rsidP="00FC0C1F">
      <w:pPr>
        <w:jc w:val="center"/>
        <w:rPr>
          <w:b/>
        </w:rPr>
      </w:pPr>
      <w:r>
        <w:rPr>
          <w:b/>
        </w:rPr>
        <w:t>Speaking (</w:t>
      </w:r>
      <w:r w:rsidR="002041E4">
        <w:rPr>
          <w:b/>
        </w:rPr>
        <w:t>S</w:t>
      </w:r>
      <w:r>
        <w:rPr>
          <w:b/>
        </w:rPr>
        <w:t>) Course</w:t>
      </w:r>
    </w:p>
    <w:p w:rsidR="0012769A" w:rsidRPr="009821C0" w:rsidRDefault="0012769A" w:rsidP="0012769A">
      <w:pPr>
        <w:jc w:val="center"/>
      </w:pPr>
      <w:r w:rsidRPr="009821C0">
        <w:t>Core Assessment Summary Report Form</w:t>
      </w:r>
    </w:p>
    <w:p w:rsidR="008D0E92" w:rsidRDefault="008D0E92" w:rsidP="00FC0C1F">
      <w:pPr>
        <w:jc w:val="center"/>
        <w:rPr>
          <w:b/>
        </w:rPr>
      </w:pPr>
    </w:p>
    <w:p w:rsidR="0012769A" w:rsidRDefault="0012769A" w:rsidP="00FC0C1F">
      <w:pPr>
        <w:jc w:val="center"/>
        <w:rPr>
          <w:b/>
        </w:rPr>
      </w:pPr>
    </w:p>
    <w:p w:rsidR="0012769A" w:rsidRDefault="0012769A" w:rsidP="0012769A">
      <w:pPr>
        <w:rPr>
          <w:b/>
        </w:rPr>
      </w:pPr>
      <w:r>
        <w:rPr>
          <w:b/>
        </w:rPr>
        <w:t>Name of Faculty Member Submitting Data: __________________________________</w:t>
      </w:r>
    </w:p>
    <w:p w:rsidR="0012769A" w:rsidRDefault="0012769A" w:rsidP="0012769A">
      <w:pPr>
        <w:rPr>
          <w:b/>
        </w:rPr>
      </w:pPr>
    </w:p>
    <w:p w:rsidR="0012769A" w:rsidRDefault="0012769A" w:rsidP="0012769A">
      <w:pPr>
        <w:rPr>
          <w:b/>
        </w:rPr>
      </w:pPr>
      <w:r w:rsidRPr="00F330DC">
        <w:rPr>
          <w:b/>
        </w:rPr>
        <w:t>Course Title,</w:t>
      </w:r>
      <w:r>
        <w:rPr>
          <w:b/>
        </w:rPr>
        <w:t xml:space="preserve"> Course Number, and Section of Course where the core rubrics shown below were applied: __________________________________________________</w:t>
      </w:r>
    </w:p>
    <w:p w:rsidR="008D0E92" w:rsidRDefault="008D0E92" w:rsidP="008D0E92">
      <w:pPr>
        <w:rPr>
          <w:b/>
        </w:rPr>
      </w:pPr>
    </w:p>
    <w:p w:rsidR="00F51F33" w:rsidRDefault="00F51F33" w:rsidP="00FC0C1F">
      <w:pPr>
        <w:rPr>
          <w:b/>
        </w:rPr>
      </w:pPr>
    </w:p>
    <w:p w:rsidR="002041E4" w:rsidRDefault="0012769A" w:rsidP="0012769A">
      <w:pPr>
        <w:jc w:val="center"/>
      </w:pPr>
      <w:r w:rsidRPr="0012769A">
        <w:rPr>
          <w:b/>
          <w:u w:val="single"/>
        </w:rPr>
        <w:t>Speaking (</w:t>
      </w:r>
      <w:r w:rsidR="002041E4" w:rsidRPr="0012769A">
        <w:rPr>
          <w:b/>
          <w:u w:val="single"/>
        </w:rPr>
        <w:t>S</w:t>
      </w:r>
      <w:r w:rsidRPr="0012769A">
        <w:rPr>
          <w:b/>
          <w:u w:val="single"/>
        </w:rPr>
        <w:t>)</w:t>
      </w:r>
      <w:r w:rsidR="002041E4" w:rsidRPr="0012769A">
        <w:rPr>
          <w:b/>
          <w:u w:val="single"/>
        </w:rPr>
        <w:t xml:space="preserve"> </w:t>
      </w:r>
      <w:r>
        <w:rPr>
          <w:b/>
          <w:u w:val="single"/>
        </w:rPr>
        <w:t>Outcomes and Rubric</w:t>
      </w:r>
    </w:p>
    <w:p w:rsidR="0012769A" w:rsidRDefault="0012769A" w:rsidP="0012769A">
      <w:r>
        <w:t xml:space="preserve">All students graduating from Centenary College must take a course designated as an “S” (speaking) course. In this course, students are required to make at least 45 minutes of oral presentations. This is not the only course where Centenary students learn speaking skills. Since students, however, definitely speak in this course, the “S” course can serve as an entry point for the assessment of speaking skills learned in the Centenary curriculum.  </w:t>
      </w:r>
    </w:p>
    <w:p w:rsidR="0012769A" w:rsidRDefault="0012769A" w:rsidP="0012769A"/>
    <w:p w:rsidR="0012769A" w:rsidRDefault="0012769A" w:rsidP="0012769A">
      <w:r w:rsidRPr="001920D3">
        <w:t>As agreed upon by Centenary College’s Faculty</w:t>
      </w:r>
      <w:r>
        <w:t>, there are four areas upon which Centenary student speaking skills are evaluated</w:t>
      </w:r>
      <w:r w:rsidRPr="000D289E">
        <w:t>:</w:t>
      </w:r>
      <w:r>
        <w:t xml:space="preserve"> clarity, analytic skill, synthetic skill, and critical thinking. In the embedded assessment process used by the College, at least one student speaking activity in each “S” class is assessed against these skills for each student. </w:t>
      </w:r>
    </w:p>
    <w:p w:rsidR="0012769A" w:rsidRDefault="0012769A" w:rsidP="0012769A"/>
    <w:p w:rsidR="0012769A" w:rsidRPr="0012769A" w:rsidRDefault="0012769A" w:rsidP="0012769A">
      <w:r w:rsidRPr="00F330DC">
        <w:t xml:space="preserve">Please use the following </w:t>
      </w:r>
      <w:r>
        <w:t>rubric</w:t>
      </w:r>
      <w:r w:rsidRPr="00F330DC">
        <w:t xml:space="preserve"> to assess student learning in your core course.</w:t>
      </w:r>
    </w:p>
    <w:p w:rsidR="002041E4" w:rsidRDefault="002041E4" w:rsidP="002041E4"/>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1080"/>
        <w:gridCol w:w="2520"/>
        <w:gridCol w:w="2700"/>
        <w:gridCol w:w="2160"/>
        <w:gridCol w:w="2160"/>
      </w:tblGrid>
      <w:tr w:rsidR="002041E4" w:rsidTr="006D0098">
        <w:tblPrEx>
          <w:tblCellMar>
            <w:top w:w="0" w:type="dxa"/>
            <w:bottom w:w="0" w:type="dxa"/>
          </w:tblCellMar>
        </w:tblPrEx>
        <w:trPr>
          <w:cantSplit/>
          <w:tblHeader/>
        </w:trPr>
        <w:tc>
          <w:tcPr>
            <w:tcW w:w="1080" w:type="dxa"/>
            <w:tcBorders>
              <w:top w:val="single" w:sz="7" w:space="0" w:color="000000"/>
              <w:left w:val="single" w:sz="7" w:space="0" w:color="000000"/>
              <w:bottom w:val="single" w:sz="7" w:space="0" w:color="000000"/>
              <w:right w:val="single" w:sz="7" w:space="0" w:color="000000"/>
            </w:tcBorders>
          </w:tcPr>
          <w:p w:rsidR="002041E4" w:rsidRDefault="002041E4" w:rsidP="002041E4">
            <w:pPr>
              <w:widowControl w:val="0"/>
              <w:spacing w:before="84" w:after="45"/>
              <w:jc w:val="center"/>
            </w:pPr>
          </w:p>
        </w:tc>
        <w:tc>
          <w:tcPr>
            <w:tcW w:w="2520" w:type="dxa"/>
            <w:tcBorders>
              <w:top w:val="single" w:sz="7" w:space="0" w:color="000000"/>
              <w:left w:val="single" w:sz="7" w:space="0" w:color="000000"/>
              <w:bottom w:val="single" w:sz="7" w:space="0" w:color="000000"/>
              <w:right w:val="single" w:sz="7" w:space="0" w:color="000000"/>
            </w:tcBorders>
          </w:tcPr>
          <w:p w:rsidR="002041E4" w:rsidRDefault="002041E4" w:rsidP="002041E4">
            <w:pPr>
              <w:widowControl w:val="0"/>
              <w:spacing w:before="84" w:after="45"/>
              <w:jc w:val="center"/>
            </w:pPr>
            <w:r>
              <w:fldChar w:fldCharType="begin"/>
            </w:r>
            <w:r>
              <w:rPr>
                <w:b/>
              </w:rPr>
              <w:instrText xml:space="preserve"> SEQ CHAPTER \h \r 1</w:instrText>
            </w:r>
            <w:r>
              <w:fldChar w:fldCharType="end"/>
            </w:r>
            <w:r>
              <w:rPr>
                <w:b/>
              </w:rPr>
              <w:t>Clarity</w:t>
            </w:r>
          </w:p>
        </w:tc>
        <w:tc>
          <w:tcPr>
            <w:tcW w:w="2700" w:type="dxa"/>
            <w:tcBorders>
              <w:top w:val="single" w:sz="7" w:space="0" w:color="000000"/>
              <w:left w:val="single" w:sz="7" w:space="0" w:color="000000"/>
              <w:bottom w:val="single" w:sz="7" w:space="0" w:color="000000"/>
              <w:right w:val="single" w:sz="7" w:space="0" w:color="000000"/>
            </w:tcBorders>
          </w:tcPr>
          <w:p w:rsidR="002041E4" w:rsidRDefault="002041E4" w:rsidP="002041E4">
            <w:pPr>
              <w:widowControl w:val="0"/>
              <w:spacing w:before="84" w:after="45"/>
              <w:jc w:val="center"/>
            </w:pPr>
            <w:r>
              <w:rPr>
                <w:b/>
              </w:rPr>
              <w:t>Analytic Skill</w:t>
            </w:r>
          </w:p>
        </w:tc>
        <w:tc>
          <w:tcPr>
            <w:tcW w:w="2160" w:type="dxa"/>
            <w:tcBorders>
              <w:top w:val="single" w:sz="7" w:space="0" w:color="000000"/>
              <w:left w:val="single" w:sz="7" w:space="0" w:color="000000"/>
              <w:bottom w:val="single" w:sz="7" w:space="0" w:color="000000"/>
              <w:right w:val="single" w:sz="7" w:space="0" w:color="000000"/>
            </w:tcBorders>
          </w:tcPr>
          <w:p w:rsidR="002041E4" w:rsidRDefault="002041E4" w:rsidP="002041E4">
            <w:pPr>
              <w:widowControl w:val="0"/>
              <w:spacing w:before="84" w:after="45"/>
              <w:jc w:val="center"/>
            </w:pPr>
            <w:r>
              <w:rPr>
                <w:b/>
              </w:rPr>
              <w:t>Synthetic Skill</w:t>
            </w:r>
          </w:p>
        </w:tc>
        <w:tc>
          <w:tcPr>
            <w:tcW w:w="2160" w:type="dxa"/>
            <w:tcBorders>
              <w:top w:val="single" w:sz="7" w:space="0" w:color="000000"/>
              <w:left w:val="single" w:sz="7" w:space="0" w:color="000000"/>
              <w:bottom w:val="single" w:sz="7" w:space="0" w:color="000000"/>
              <w:right w:val="single" w:sz="7" w:space="0" w:color="000000"/>
            </w:tcBorders>
          </w:tcPr>
          <w:p w:rsidR="002041E4" w:rsidRDefault="002041E4" w:rsidP="002041E4">
            <w:pPr>
              <w:widowControl w:val="0"/>
              <w:spacing w:before="84" w:after="45"/>
              <w:jc w:val="center"/>
            </w:pPr>
            <w:r>
              <w:rPr>
                <w:b/>
              </w:rPr>
              <w:t>Critical Thinking</w:t>
            </w:r>
          </w:p>
        </w:tc>
      </w:tr>
      <w:tr w:rsidR="002041E4" w:rsidTr="002041E4">
        <w:tblPrEx>
          <w:tblCellMar>
            <w:top w:w="0" w:type="dxa"/>
            <w:bottom w:w="0" w:type="dxa"/>
          </w:tblCellMar>
        </w:tblPrEx>
        <w:trPr>
          <w:cantSplit/>
        </w:trPr>
        <w:tc>
          <w:tcPr>
            <w:tcW w:w="1080" w:type="dxa"/>
            <w:tcBorders>
              <w:top w:val="single" w:sz="7" w:space="0" w:color="000000"/>
              <w:left w:val="single" w:sz="7" w:space="0" w:color="000000"/>
              <w:bottom w:val="single" w:sz="7" w:space="0" w:color="000000"/>
              <w:right w:val="single" w:sz="7" w:space="0" w:color="000000"/>
            </w:tcBorders>
          </w:tcPr>
          <w:p w:rsidR="002041E4" w:rsidRDefault="002041E4" w:rsidP="002041E4">
            <w:pPr>
              <w:widowControl w:val="0"/>
              <w:spacing w:before="84"/>
              <w:jc w:val="center"/>
              <w:rPr>
                <w:b/>
              </w:rPr>
            </w:pPr>
            <w:r>
              <w:rPr>
                <w:b/>
              </w:rPr>
              <w:t>Points</w:t>
            </w:r>
          </w:p>
          <w:p w:rsidR="002041E4" w:rsidRDefault="002041E4" w:rsidP="002041E4">
            <w:pPr>
              <w:widowControl w:val="0"/>
              <w:spacing w:after="45"/>
              <w:jc w:val="center"/>
            </w:pPr>
            <w:r>
              <w:rPr>
                <w:b/>
              </w:rPr>
              <w:t>(3)</w:t>
            </w:r>
          </w:p>
        </w:tc>
        <w:tc>
          <w:tcPr>
            <w:tcW w:w="2520" w:type="dxa"/>
            <w:tcBorders>
              <w:top w:val="single" w:sz="7" w:space="0" w:color="000000"/>
              <w:left w:val="single" w:sz="7" w:space="0" w:color="000000"/>
              <w:bottom w:val="single" w:sz="7" w:space="0" w:color="000000"/>
              <w:right w:val="single" w:sz="7" w:space="0" w:color="000000"/>
            </w:tcBorders>
          </w:tcPr>
          <w:p w:rsidR="002041E4" w:rsidRPr="001C47A2" w:rsidRDefault="002041E4" w:rsidP="001C47A2">
            <w:pPr>
              <w:widowControl w:val="0"/>
              <w:numPr>
                <w:ilvl w:val="0"/>
                <w:numId w:val="1"/>
              </w:numPr>
              <w:spacing w:before="84"/>
              <w:ind w:left="259" w:hanging="259"/>
              <w:rPr>
                <w:sz w:val="22"/>
                <w:szCs w:val="22"/>
              </w:rPr>
            </w:pPr>
            <w:r w:rsidRPr="001C47A2">
              <w:rPr>
                <w:sz w:val="22"/>
                <w:szCs w:val="22"/>
              </w:rPr>
              <w:t>Clearly stated main idea</w:t>
            </w:r>
          </w:p>
          <w:p w:rsidR="002041E4" w:rsidRPr="001C47A2" w:rsidRDefault="002041E4" w:rsidP="001C47A2">
            <w:pPr>
              <w:widowControl w:val="0"/>
              <w:numPr>
                <w:ilvl w:val="0"/>
                <w:numId w:val="1"/>
              </w:numPr>
              <w:ind w:left="259" w:hanging="259"/>
              <w:rPr>
                <w:sz w:val="22"/>
                <w:szCs w:val="22"/>
              </w:rPr>
            </w:pPr>
            <w:r w:rsidRPr="001C47A2">
              <w:rPr>
                <w:sz w:val="22"/>
                <w:szCs w:val="22"/>
              </w:rPr>
              <w:t>Accuracy in the use of the English language</w:t>
            </w:r>
          </w:p>
          <w:p w:rsidR="002041E4" w:rsidRPr="001C47A2" w:rsidRDefault="002041E4" w:rsidP="001C47A2">
            <w:pPr>
              <w:widowControl w:val="0"/>
              <w:numPr>
                <w:ilvl w:val="0"/>
                <w:numId w:val="1"/>
              </w:numPr>
              <w:ind w:left="259" w:hanging="259"/>
              <w:rPr>
                <w:sz w:val="22"/>
                <w:szCs w:val="22"/>
              </w:rPr>
            </w:pPr>
            <w:r w:rsidRPr="001C47A2">
              <w:rPr>
                <w:sz w:val="22"/>
                <w:szCs w:val="22"/>
              </w:rPr>
              <w:t>Clearly stated beginning, main points, and conclusion</w:t>
            </w:r>
          </w:p>
          <w:p w:rsidR="002041E4" w:rsidRPr="001C47A2" w:rsidRDefault="002041E4" w:rsidP="001C47A2">
            <w:pPr>
              <w:widowControl w:val="0"/>
              <w:numPr>
                <w:ilvl w:val="0"/>
                <w:numId w:val="1"/>
              </w:numPr>
              <w:spacing w:after="45"/>
              <w:ind w:left="259" w:hanging="259"/>
              <w:rPr>
                <w:sz w:val="22"/>
                <w:szCs w:val="22"/>
              </w:rPr>
            </w:pPr>
            <w:r w:rsidRPr="001C47A2">
              <w:rPr>
                <w:sz w:val="22"/>
                <w:szCs w:val="22"/>
              </w:rPr>
              <w:t>Smooth transition between changing ideas</w:t>
            </w:r>
          </w:p>
        </w:tc>
        <w:tc>
          <w:tcPr>
            <w:tcW w:w="2700" w:type="dxa"/>
            <w:tcBorders>
              <w:top w:val="single" w:sz="7" w:space="0" w:color="000000"/>
              <w:left w:val="single" w:sz="7" w:space="0" w:color="000000"/>
              <w:bottom w:val="single" w:sz="7" w:space="0" w:color="000000"/>
              <w:right w:val="single" w:sz="7" w:space="0" w:color="000000"/>
            </w:tcBorders>
          </w:tcPr>
          <w:p w:rsidR="002041E4" w:rsidRPr="001C47A2" w:rsidRDefault="002041E4" w:rsidP="001C47A2">
            <w:pPr>
              <w:widowControl w:val="0"/>
              <w:numPr>
                <w:ilvl w:val="0"/>
                <w:numId w:val="1"/>
              </w:numPr>
              <w:spacing w:before="84"/>
              <w:ind w:left="259" w:hanging="259"/>
              <w:rPr>
                <w:sz w:val="22"/>
                <w:szCs w:val="22"/>
              </w:rPr>
            </w:pPr>
            <w:r w:rsidRPr="001C47A2">
              <w:rPr>
                <w:sz w:val="22"/>
                <w:szCs w:val="22"/>
              </w:rPr>
              <w:t>Thorough statement of appropriate analytic techniques to employ</w:t>
            </w:r>
          </w:p>
          <w:p w:rsidR="002041E4" w:rsidRPr="001C47A2" w:rsidRDefault="002041E4" w:rsidP="001C47A2">
            <w:pPr>
              <w:widowControl w:val="0"/>
              <w:numPr>
                <w:ilvl w:val="0"/>
                <w:numId w:val="1"/>
              </w:numPr>
              <w:ind w:left="259" w:hanging="259"/>
              <w:rPr>
                <w:sz w:val="22"/>
                <w:szCs w:val="22"/>
              </w:rPr>
            </w:pPr>
            <w:r w:rsidRPr="001C47A2">
              <w:rPr>
                <w:sz w:val="22"/>
                <w:szCs w:val="22"/>
              </w:rPr>
              <w:t>Careful and complete explanation of relevant data</w:t>
            </w:r>
          </w:p>
          <w:p w:rsidR="002041E4" w:rsidRPr="001C47A2" w:rsidRDefault="002041E4" w:rsidP="001C47A2">
            <w:pPr>
              <w:widowControl w:val="0"/>
              <w:numPr>
                <w:ilvl w:val="0"/>
                <w:numId w:val="1"/>
              </w:numPr>
              <w:spacing w:after="45"/>
              <w:ind w:left="259" w:hanging="259"/>
              <w:rPr>
                <w:sz w:val="22"/>
                <w:szCs w:val="22"/>
              </w:rPr>
            </w:pPr>
            <w:r w:rsidRPr="001C47A2">
              <w:rPr>
                <w:sz w:val="22"/>
                <w:szCs w:val="22"/>
              </w:rPr>
              <w:t>Thoughtful identification of relevant variables for analysis</w:t>
            </w:r>
          </w:p>
        </w:tc>
        <w:tc>
          <w:tcPr>
            <w:tcW w:w="2160" w:type="dxa"/>
            <w:tcBorders>
              <w:top w:val="single" w:sz="7" w:space="0" w:color="000000"/>
              <w:left w:val="single" w:sz="7" w:space="0" w:color="000000"/>
              <w:bottom w:val="single" w:sz="7" w:space="0" w:color="000000"/>
              <w:right w:val="single" w:sz="7" w:space="0" w:color="000000"/>
            </w:tcBorders>
          </w:tcPr>
          <w:p w:rsidR="002041E4" w:rsidRPr="001C47A2" w:rsidRDefault="002041E4" w:rsidP="001C47A2">
            <w:pPr>
              <w:widowControl w:val="0"/>
              <w:numPr>
                <w:ilvl w:val="0"/>
                <w:numId w:val="1"/>
              </w:numPr>
              <w:spacing w:before="84"/>
              <w:ind w:left="259" w:hanging="259"/>
              <w:rPr>
                <w:sz w:val="22"/>
                <w:szCs w:val="22"/>
              </w:rPr>
            </w:pPr>
            <w:r w:rsidRPr="001C47A2">
              <w:rPr>
                <w:sz w:val="22"/>
                <w:szCs w:val="22"/>
              </w:rPr>
              <w:t>Thorough, appropriate and well summarized work of others</w:t>
            </w:r>
          </w:p>
          <w:p w:rsidR="002041E4" w:rsidRPr="001C47A2" w:rsidRDefault="002041E4" w:rsidP="001C47A2">
            <w:pPr>
              <w:widowControl w:val="0"/>
              <w:numPr>
                <w:ilvl w:val="0"/>
                <w:numId w:val="1"/>
              </w:numPr>
              <w:ind w:left="259" w:hanging="259"/>
              <w:rPr>
                <w:sz w:val="22"/>
                <w:szCs w:val="22"/>
              </w:rPr>
            </w:pPr>
            <w:r w:rsidRPr="001C47A2">
              <w:rPr>
                <w:sz w:val="22"/>
                <w:szCs w:val="22"/>
              </w:rPr>
              <w:t>Unbiased discussion of differing views</w:t>
            </w:r>
          </w:p>
          <w:p w:rsidR="002041E4" w:rsidRPr="001C47A2" w:rsidRDefault="002041E4" w:rsidP="002041E4">
            <w:pPr>
              <w:widowControl w:val="0"/>
              <w:spacing w:after="45"/>
              <w:rPr>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2041E4" w:rsidRPr="001C47A2" w:rsidRDefault="002041E4" w:rsidP="001C47A2">
            <w:pPr>
              <w:widowControl w:val="0"/>
              <w:numPr>
                <w:ilvl w:val="0"/>
                <w:numId w:val="1"/>
              </w:numPr>
              <w:spacing w:after="45"/>
              <w:ind w:left="259" w:hanging="259"/>
              <w:rPr>
                <w:sz w:val="22"/>
                <w:szCs w:val="22"/>
              </w:rPr>
            </w:pPr>
            <w:r w:rsidRPr="001C47A2">
              <w:rPr>
                <w:sz w:val="22"/>
                <w:szCs w:val="22"/>
              </w:rPr>
              <w:t>Valid and fully supported conclusion</w:t>
            </w:r>
          </w:p>
        </w:tc>
      </w:tr>
      <w:tr w:rsidR="002041E4" w:rsidTr="002041E4">
        <w:tblPrEx>
          <w:tblCellMar>
            <w:top w:w="0" w:type="dxa"/>
            <w:bottom w:w="0" w:type="dxa"/>
          </w:tblCellMar>
        </w:tblPrEx>
        <w:trPr>
          <w:cantSplit/>
        </w:trPr>
        <w:tc>
          <w:tcPr>
            <w:tcW w:w="1080" w:type="dxa"/>
            <w:tcBorders>
              <w:top w:val="single" w:sz="7" w:space="0" w:color="000000"/>
              <w:left w:val="single" w:sz="7" w:space="0" w:color="000000"/>
              <w:bottom w:val="single" w:sz="7" w:space="0" w:color="000000"/>
              <w:right w:val="single" w:sz="7" w:space="0" w:color="000000"/>
            </w:tcBorders>
          </w:tcPr>
          <w:p w:rsidR="002041E4" w:rsidRDefault="002041E4" w:rsidP="002041E4">
            <w:pPr>
              <w:widowControl w:val="0"/>
              <w:spacing w:before="84"/>
              <w:jc w:val="center"/>
              <w:rPr>
                <w:b/>
              </w:rPr>
            </w:pPr>
            <w:r>
              <w:rPr>
                <w:b/>
              </w:rPr>
              <w:t>Points</w:t>
            </w:r>
          </w:p>
          <w:p w:rsidR="002041E4" w:rsidRDefault="002041E4" w:rsidP="002041E4">
            <w:pPr>
              <w:widowControl w:val="0"/>
              <w:spacing w:after="45"/>
              <w:jc w:val="center"/>
            </w:pPr>
            <w:r>
              <w:rPr>
                <w:b/>
              </w:rPr>
              <w:t>(2)</w:t>
            </w:r>
          </w:p>
        </w:tc>
        <w:tc>
          <w:tcPr>
            <w:tcW w:w="2520" w:type="dxa"/>
            <w:tcBorders>
              <w:top w:val="single" w:sz="7" w:space="0" w:color="000000"/>
              <w:left w:val="single" w:sz="7" w:space="0" w:color="000000"/>
              <w:bottom w:val="single" w:sz="7" w:space="0" w:color="000000"/>
              <w:right w:val="single" w:sz="7" w:space="0" w:color="000000"/>
            </w:tcBorders>
          </w:tcPr>
          <w:p w:rsidR="002041E4" w:rsidRPr="001C47A2" w:rsidRDefault="002041E4" w:rsidP="001C47A2">
            <w:pPr>
              <w:widowControl w:val="0"/>
              <w:numPr>
                <w:ilvl w:val="0"/>
                <w:numId w:val="2"/>
              </w:numPr>
              <w:spacing w:before="84"/>
              <w:ind w:left="259"/>
              <w:rPr>
                <w:sz w:val="22"/>
                <w:szCs w:val="22"/>
              </w:rPr>
            </w:pPr>
            <w:r w:rsidRPr="001C47A2">
              <w:rPr>
                <w:sz w:val="22"/>
                <w:szCs w:val="22"/>
              </w:rPr>
              <w:t>Satisfactorily stated main idea</w:t>
            </w:r>
          </w:p>
          <w:p w:rsidR="002041E4" w:rsidRPr="001C47A2" w:rsidRDefault="002041E4" w:rsidP="001C47A2">
            <w:pPr>
              <w:widowControl w:val="0"/>
              <w:numPr>
                <w:ilvl w:val="0"/>
                <w:numId w:val="2"/>
              </w:numPr>
              <w:ind w:left="259"/>
              <w:rPr>
                <w:sz w:val="22"/>
                <w:szCs w:val="22"/>
              </w:rPr>
            </w:pPr>
            <w:r w:rsidRPr="001C47A2">
              <w:rPr>
                <w:sz w:val="22"/>
                <w:szCs w:val="22"/>
              </w:rPr>
              <w:t>Some grammatical errors in the use of the English language</w:t>
            </w:r>
          </w:p>
          <w:p w:rsidR="002041E4" w:rsidRPr="001C47A2" w:rsidRDefault="002041E4" w:rsidP="001C47A2">
            <w:pPr>
              <w:widowControl w:val="0"/>
              <w:numPr>
                <w:ilvl w:val="0"/>
                <w:numId w:val="2"/>
              </w:numPr>
              <w:ind w:left="259"/>
              <w:rPr>
                <w:sz w:val="22"/>
                <w:szCs w:val="22"/>
              </w:rPr>
            </w:pPr>
            <w:r w:rsidRPr="001C47A2">
              <w:rPr>
                <w:sz w:val="22"/>
                <w:szCs w:val="22"/>
              </w:rPr>
              <w:t>Contains an introduction and conclusion</w:t>
            </w:r>
          </w:p>
          <w:p w:rsidR="002041E4" w:rsidRPr="001C47A2" w:rsidRDefault="002041E4" w:rsidP="001C47A2">
            <w:pPr>
              <w:widowControl w:val="0"/>
              <w:numPr>
                <w:ilvl w:val="0"/>
                <w:numId w:val="2"/>
              </w:numPr>
              <w:spacing w:after="45"/>
              <w:ind w:left="259"/>
              <w:rPr>
                <w:sz w:val="22"/>
                <w:szCs w:val="22"/>
              </w:rPr>
            </w:pPr>
            <w:r w:rsidRPr="001C47A2">
              <w:rPr>
                <w:sz w:val="22"/>
                <w:szCs w:val="22"/>
              </w:rPr>
              <w:t>Speech shows limited planning in the presentation of ideas</w:t>
            </w:r>
          </w:p>
        </w:tc>
        <w:tc>
          <w:tcPr>
            <w:tcW w:w="2700" w:type="dxa"/>
            <w:tcBorders>
              <w:top w:val="single" w:sz="7" w:space="0" w:color="000000"/>
              <w:left w:val="single" w:sz="7" w:space="0" w:color="000000"/>
              <w:bottom w:val="single" w:sz="7" w:space="0" w:color="000000"/>
              <w:right w:val="single" w:sz="7" w:space="0" w:color="000000"/>
            </w:tcBorders>
          </w:tcPr>
          <w:p w:rsidR="002041E4" w:rsidRPr="001C47A2" w:rsidRDefault="002041E4" w:rsidP="001C47A2">
            <w:pPr>
              <w:widowControl w:val="0"/>
              <w:numPr>
                <w:ilvl w:val="0"/>
                <w:numId w:val="2"/>
              </w:numPr>
              <w:spacing w:before="84"/>
              <w:ind w:left="259" w:hanging="259"/>
              <w:rPr>
                <w:sz w:val="22"/>
                <w:szCs w:val="22"/>
              </w:rPr>
            </w:pPr>
            <w:r w:rsidRPr="001C47A2">
              <w:rPr>
                <w:sz w:val="22"/>
                <w:szCs w:val="22"/>
              </w:rPr>
              <w:t>Identification of some analytic techniques to employ</w:t>
            </w:r>
          </w:p>
          <w:p w:rsidR="002041E4" w:rsidRPr="001C47A2" w:rsidRDefault="002041E4" w:rsidP="001C47A2">
            <w:pPr>
              <w:widowControl w:val="0"/>
              <w:numPr>
                <w:ilvl w:val="0"/>
                <w:numId w:val="2"/>
              </w:numPr>
              <w:ind w:left="259" w:hanging="259"/>
              <w:rPr>
                <w:sz w:val="22"/>
                <w:szCs w:val="22"/>
              </w:rPr>
            </w:pPr>
            <w:r w:rsidRPr="001C47A2">
              <w:rPr>
                <w:sz w:val="22"/>
                <w:szCs w:val="22"/>
              </w:rPr>
              <w:t>Some explanation of the means of data collection</w:t>
            </w:r>
          </w:p>
          <w:p w:rsidR="002041E4" w:rsidRPr="001C47A2" w:rsidRDefault="002041E4" w:rsidP="001C47A2">
            <w:pPr>
              <w:widowControl w:val="0"/>
              <w:numPr>
                <w:ilvl w:val="0"/>
                <w:numId w:val="2"/>
              </w:numPr>
              <w:spacing w:after="45"/>
              <w:ind w:left="259" w:hanging="259"/>
              <w:rPr>
                <w:sz w:val="22"/>
                <w:szCs w:val="22"/>
              </w:rPr>
            </w:pPr>
            <w:r w:rsidRPr="001C47A2">
              <w:rPr>
                <w:sz w:val="22"/>
                <w:szCs w:val="22"/>
              </w:rPr>
              <w:t>Identification of some relevant variables for analysis</w:t>
            </w:r>
          </w:p>
        </w:tc>
        <w:tc>
          <w:tcPr>
            <w:tcW w:w="2160" w:type="dxa"/>
            <w:tcBorders>
              <w:top w:val="single" w:sz="7" w:space="0" w:color="000000"/>
              <w:left w:val="single" w:sz="7" w:space="0" w:color="000000"/>
              <w:bottom w:val="single" w:sz="7" w:space="0" w:color="000000"/>
              <w:right w:val="single" w:sz="7" w:space="0" w:color="000000"/>
            </w:tcBorders>
          </w:tcPr>
          <w:p w:rsidR="002041E4" w:rsidRPr="001C47A2" w:rsidRDefault="002041E4" w:rsidP="001C47A2">
            <w:pPr>
              <w:widowControl w:val="0"/>
              <w:numPr>
                <w:ilvl w:val="0"/>
                <w:numId w:val="2"/>
              </w:numPr>
              <w:spacing w:before="84"/>
              <w:ind w:left="259" w:hanging="259"/>
              <w:rPr>
                <w:sz w:val="22"/>
                <w:szCs w:val="22"/>
              </w:rPr>
            </w:pPr>
            <w:r w:rsidRPr="001C47A2">
              <w:rPr>
                <w:sz w:val="22"/>
                <w:szCs w:val="22"/>
              </w:rPr>
              <w:t>Some discussion of the work of others</w:t>
            </w:r>
          </w:p>
          <w:p w:rsidR="002041E4" w:rsidRPr="001C47A2" w:rsidRDefault="002041E4" w:rsidP="001C47A2">
            <w:pPr>
              <w:widowControl w:val="0"/>
              <w:numPr>
                <w:ilvl w:val="0"/>
                <w:numId w:val="2"/>
              </w:numPr>
              <w:ind w:left="259" w:hanging="259"/>
              <w:rPr>
                <w:sz w:val="22"/>
                <w:szCs w:val="22"/>
              </w:rPr>
            </w:pPr>
            <w:r w:rsidRPr="001C47A2">
              <w:rPr>
                <w:sz w:val="22"/>
                <w:szCs w:val="22"/>
              </w:rPr>
              <w:t>Incomplete discussion of the views of others</w:t>
            </w:r>
          </w:p>
          <w:p w:rsidR="002041E4" w:rsidRPr="001C47A2" w:rsidRDefault="002041E4" w:rsidP="002041E4">
            <w:pPr>
              <w:widowControl w:val="0"/>
              <w:spacing w:after="45"/>
              <w:rPr>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2041E4" w:rsidRPr="001C47A2" w:rsidRDefault="002041E4" w:rsidP="001C47A2">
            <w:pPr>
              <w:widowControl w:val="0"/>
              <w:numPr>
                <w:ilvl w:val="0"/>
                <w:numId w:val="2"/>
              </w:numPr>
              <w:spacing w:before="84"/>
              <w:ind w:left="259" w:hanging="259"/>
              <w:rPr>
                <w:sz w:val="22"/>
                <w:szCs w:val="22"/>
              </w:rPr>
            </w:pPr>
            <w:r w:rsidRPr="001C47A2">
              <w:rPr>
                <w:sz w:val="22"/>
                <w:szCs w:val="22"/>
              </w:rPr>
              <w:t>Plausibly supported conclusion</w:t>
            </w:r>
          </w:p>
        </w:tc>
      </w:tr>
      <w:tr w:rsidR="002041E4" w:rsidTr="002041E4">
        <w:tblPrEx>
          <w:tblCellMar>
            <w:top w:w="0" w:type="dxa"/>
            <w:bottom w:w="0" w:type="dxa"/>
          </w:tblCellMar>
        </w:tblPrEx>
        <w:trPr>
          <w:cantSplit/>
        </w:trPr>
        <w:tc>
          <w:tcPr>
            <w:tcW w:w="1080" w:type="dxa"/>
            <w:tcBorders>
              <w:top w:val="single" w:sz="7" w:space="0" w:color="000000"/>
              <w:left w:val="single" w:sz="7" w:space="0" w:color="000000"/>
              <w:bottom w:val="single" w:sz="7" w:space="0" w:color="000000"/>
              <w:right w:val="single" w:sz="7" w:space="0" w:color="000000"/>
            </w:tcBorders>
          </w:tcPr>
          <w:p w:rsidR="002041E4" w:rsidRDefault="002041E4" w:rsidP="002041E4">
            <w:pPr>
              <w:widowControl w:val="0"/>
              <w:spacing w:before="84"/>
              <w:jc w:val="center"/>
              <w:rPr>
                <w:b/>
              </w:rPr>
            </w:pPr>
            <w:r>
              <w:rPr>
                <w:b/>
              </w:rPr>
              <w:lastRenderedPageBreak/>
              <w:t>Points</w:t>
            </w:r>
          </w:p>
          <w:p w:rsidR="002041E4" w:rsidRDefault="002041E4" w:rsidP="002041E4">
            <w:pPr>
              <w:widowControl w:val="0"/>
              <w:spacing w:after="45"/>
              <w:jc w:val="center"/>
            </w:pPr>
            <w:r>
              <w:rPr>
                <w:b/>
              </w:rPr>
              <w:t>(1)</w:t>
            </w:r>
          </w:p>
        </w:tc>
        <w:tc>
          <w:tcPr>
            <w:tcW w:w="2520" w:type="dxa"/>
            <w:tcBorders>
              <w:top w:val="single" w:sz="7" w:space="0" w:color="000000"/>
              <w:left w:val="single" w:sz="7" w:space="0" w:color="000000"/>
              <w:bottom w:val="single" w:sz="7" w:space="0" w:color="000000"/>
              <w:right w:val="single" w:sz="7" w:space="0" w:color="000000"/>
            </w:tcBorders>
          </w:tcPr>
          <w:p w:rsidR="002041E4" w:rsidRPr="001C47A2" w:rsidRDefault="002041E4" w:rsidP="001C47A2">
            <w:pPr>
              <w:widowControl w:val="0"/>
              <w:numPr>
                <w:ilvl w:val="0"/>
                <w:numId w:val="3"/>
              </w:numPr>
              <w:spacing w:before="84"/>
              <w:ind w:left="259" w:hanging="259"/>
              <w:rPr>
                <w:sz w:val="22"/>
                <w:szCs w:val="22"/>
              </w:rPr>
            </w:pPr>
            <w:r w:rsidRPr="001C47A2">
              <w:rPr>
                <w:sz w:val="22"/>
                <w:szCs w:val="22"/>
              </w:rPr>
              <w:t>Poorly or no developed main idea</w:t>
            </w:r>
          </w:p>
          <w:p w:rsidR="002041E4" w:rsidRPr="001C47A2" w:rsidRDefault="002041E4" w:rsidP="001C47A2">
            <w:pPr>
              <w:widowControl w:val="0"/>
              <w:numPr>
                <w:ilvl w:val="0"/>
                <w:numId w:val="3"/>
              </w:numPr>
              <w:ind w:left="259" w:hanging="259"/>
              <w:rPr>
                <w:sz w:val="22"/>
                <w:szCs w:val="22"/>
              </w:rPr>
            </w:pPr>
            <w:r w:rsidRPr="001C47A2">
              <w:rPr>
                <w:sz w:val="22"/>
                <w:szCs w:val="22"/>
              </w:rPr>
              <w:t>Excessive grammatical errors in the spoken word</w:t>
            </w:r>
          </w:p>
          <w:p w:rsidR="002041E4" w:rsidRPr="001C47A2" w:rsidRDefault="002041E4" w:rsidP="001C47A2">
            <w:pPr>
              <w:widowControl w:val="0"/>
              <w:numPr>
                <w:ilvl w:val="0"/>
                <w:numId w:val="3"/>
              </w:numPr>
              <w:ind w:left="259" w:hanging="259"/>
              <w:rPr>
                <w:sz w:val="22"/>
                <w:szCs w:val="22"/>
              </w:rPr>
            </w:pPr>
            <w:r w:rsidRPr="001C47A2">
              <w:rPr>
                <w:sz w:val="22"/>
                <w:szCs w:val="22"/>
              </w:rPr>
              <w:t>Poor or no introduction and poorly or no stated conclusion</w:t>
            </w:r>
          </w:p>
          <w:p w:rsidR="002041E4" w:rsidRPr="001C47A2" w:rsidRDefault="002041E4" w:rsidP="001C47A2">
            <w:pPr>
              <w:widowControl w:val="0"/>
              <w:numPr>
                <w:ilvl w:val="0"/>
                <w:numId w:val="3"/>
              </w:numPr>
              <w:spacing w:after="45"/>
              <w:ind w:left="259" w:hanging="259"/>
              <w:rPr>
                <w:sz w:val="22"/>
                <w:szCs w:val="22"/>
              </w:rPr>
            </w:pPr>
            <w:r w:rsidRPr="001C47A2">
              <w:rPr>
                <w:sz w:val="22"/>
                <w:szCs w:val="22"/>
              </w:rPr>
              <w:t>Little or no planning in the presentation of ideas.</w:t>
            </w:r>
          </w:p>
        </w:tc>
        <w:tc>
          <w:tcPr>
            <w:tcW w:w="2700" w:type="dxa"/>
            <w:tcBorders>
              <w:top w:val="single" w:sz="7" w:space="0" w:color="000000"/>
              <w:left w:val="single" w:sz="7" w:space="0" w:color="000000"/>
              <w:bottom w:val="single" w:sz="7" w:space="0" w:color="000000"/>
              <w:right w:val="single" w:sz="7" w:space="0" w:color="000000"/>
            </w:tcBorders>
          </w:tcPr>
          <w:p w:rsidR="002041E4" w:rsidRPr="001C47A2" w:rsidRDefault="002041E4" w:rsidP="001C47A2">
            <w:pPr>
              <w:widowControl w:val="0"/>
              <w:numPr>
                <w:ilvl w:val="0"/>
                <w:numId w:val="3"/>
              </w:numPr>
              <w:spacing w:before="84"/>
              <w:ind w:left="259" w:hanging="259"/>
              <w:rPr>
                <w:sz w:val="22"/>
                <w:szCs w:val="22"/>
              </w:rPr>
            </w:pPr>
            <w:r w:rsidRPr="001C47A2">
              <w:rPr>
                <w:sz w:val="22"/>
                <w:szCs w:val="22"/>
              </w:rPr>
              <w:t>Poor or no identification of analytic techniques</w:t>
            </w:r>
          </w:p>
          <w:p w:rsidR="002041E4" w:rsidRPr="001C47A2" w:rsidRDefault="002041E4" w:rsidP="001C47A2">
            <w:pPr>
              <w:widowControl w:val="0"/>
              <w:numPr>
                <w:ilvl w:val="0"/>
                <w:numId w:val="3"/>
              </w:numPr>
              <w:ind w:left="259" w:hanging="259"/>
              <w:rPr>
                <w:sz w:val="22"/>
                <w:szCs w:val="22"/>
              </w:rPr>
            </w:pPr>
            <w:r w:rsidRPr="001C47A2">
              <w:rPr>
                <w:sz w:val="22"/>
                <w:szCs w:val="22"/>
              </w:rPr>
              <w:t>Poor or no data collection discussion</w:t>
            </w:r>
          </w:p>
          <w:p w:rsidR="002041E4" w:rsidRPr="001C47A2" w:rsidRDefault="002041E4" w:rsidP="001C47A2">
            <w:pPr>
              <w:widowControl w:val="0"/>
              <w:numPr>
                <w:ilvl w:val="0"/>
                <w:numId w:val="3"/>
              </w:numPr>
              <w:spacing w:after="45"/>
              <w:ind w:left="259" w:hanging="259"/>
              <w:rPr>
                <w:sz w:val="22"/>
                <w:szCs w:val="22"/>
              </w:rPr>
            </w:pPr>
            <w:r w:rsidRPr="001C47A2">
              <w:rPr>
                <w:sz w:val="22"/>
                <w:szCs w:val="22"/>
              </w:rPr>
              <w:t>Misidentification of relevant variables for analysis</w:t>
            </w:r>
          </w:p>
        </w:tc>
        <w:tc>
          <w:tcPr>
            <w:tcW w:w="2160" w:type="dxa"/>
            <w:tcBorders>
              <w:top w:val="single" w:sz="7" w:space="0" w:color="000000"/>
              <w:left w:val="single" w:sz="7" w:space="0" w:color="000000"/>
              <w:bottom w:val="single" w:sz="7" w:space="0" w:color="000000"/>
              <w:right w:val="single" w:sz="7" w:space="0" w:color="000000"/>
            </w:tcBorders>
          </w:tcPr>
          <w:p w:rsidR="002041E4" w:rsidRPr="001C47A2" w:rsidRDefault="002041E4" w:rsidP="001C47A2">
            <w:pPr>
              <w:widowControl w:val="0"/>
              <w:numPr>
                <w:ilvl w:val="0"/>
                <w:numId w:val="3"/>
              </w:numPr>
              <w:spacing w:before="84"/>
              <w:ind w:left="259" w:hanging="259"/>
              <w:rPr>
                <w:sz w:val="22"/>
                <w:szCs w:val="22"/>
              </w:rPr>
            </w:pPr>
            <w:r w:rsidRPr="001C47A2">
              <w:rPr>
                <w:sz w:val="22"/>
                <w:szCs w:val="22"/>
              </w:rPr>
              <w:t>Poor or no discussion of the work of others</w:t>
            </w:r>
          </w:p>
          <w:p w:rsidR="002041E4" w:rsidRPr="001C47A2" w:rsidRDefault="002041E4" w:rsidP="001C47A2">
            <w:pPr>
              <w:widowControl w:val="0"/>
              <w:numPr>
                <w:ilvl w:val="0"/>
                <w:numId w:val="3"/>
              </w:numPr>
              <w:ind w:left="259" w:hanging="259"/>
              <w:rPr>
                <w:sz w:val="22"/>
                <w:szCs w:val="22"/>
              </w:rPr>
            </w:pPr>
            <w:r w:rsidRPr="001C47A2">
              <w:rPr>
                <w:sz w:val="22"/>
                <w:szCs w:val="22"/>
              </w:rPr>
              <w:t>Poor or no discussion of the views of others</w:t>
            </w:r>
          </w:p>
          <w:p w:rsidR="002041E4" w:rsidRPr="001C47A2" w:rsidRDefault="002041E4" w:rsidP="002041E4">
            <w:pPr>
              <w:widowControl w:val="0"/>
              <w:spacing w:after="45"/>
              <w:rPr>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2041E4" w:rsidRPr="001C47A2" w:rsidRDefault="002041E4" w:rsidP="0050291F">
            <w:pPr>
              <w:widowControl w:val="0"/>
              <w:numPr>
                <w:ilvl w:val="0"/>
                <w:numId w:val="3"/>
              </w:numPr>
              <w:spacing w:after="45"/>
              <w:ind w:left="259" w:hanging="259"/>
              <w:rPr>
                <w:sz w:val="22"/>
                <w:szCs w:val="22"/>
              </w:rPr>
            </w:pPr>
            <w:r w:rsidRPr="001C47A2">
              <w:rPr>
                <w:sz w:val="22"/>
                <w:szCs w:val="22"/>
              </w:rPr>
              <w:t>Missing or poorly supported conclusion</w:t>
            </w:r>
          </w:p>
        </w:tc>
      </w:tr>
    </w:tbl>
    <w:p w:rsidR="002041E4" w:rsidRDefault="002041E4" w:rsidP="00FC0C1F">
      <w:pPr>
        <w:rPr>
          <w:b/>
        </w:rPr>
      </w:pPr>
    </w:p>
    <w:p w:rsidR="0012769A" w:rsidRDefault="0012769A" w:rsidP="0012769A">
      <w:pPr>
        <w:rPr>
          <w:b/>
        </w:rPr>
      </w:pPr>
      <w:r>
        <w:rPr>
          <w:b/>
        </w:rPr>
        <w:t xml:space="preserve">Please provide a summary </w:t>
      </w:r>
      <w:r w:rsidRPr="000418E2">
        <w:rPr>
          <w:b/>
        </w:rPr>
        <w:t>description</w:t>
      </w:r>
      <w:r>
        <w:rPr>
          <w:b/>
        </w:rPr>
        <w:t xml:space="preserve"> of the </w:t>
      </w:r>
      <w:r w:rsidR="001C47A2">
        <w:rPr>
          <w:b/>
        </w:rPr>
        <w:t>speaking activity or</w:t>
      </w:r>
      <w:r>
        <w:rPr>
          <w:b/>
        </w:rPr>
        <w:t xml:space="preserve"> assignment to which the Faculty approved Speaking (S) Core rubric was applied</w:t>
      </w:r>
      <w:r w:rsidRPr="00F330DC">
        <w:rPr>
          <w:b/>
        </w:rPr>
        <w:t xml:space="preserve">.  In the summary, please clearly and specifically identify the </w:t>
      </w:r>
      <w:r w:rsidR="001C47A2">
        <w:rPr>
          <w:b/>
        </w:rPr>
        <w:t>how the activity/assignment as a whole or in parts addressed</w:t>
      </w:r>
      <w:r w:rsidRPr="00F330DC">
        <w:rPr>
          <w:b/>
        </w:rPr>
        <w:t xml:space="preserve"> each </w:t>
      </w:r>
      <w:r>
        <w:rPr>
          <w:b/>
        </w:rPr>
        <w:t>skill</w:t>
      </w:r>
      <w:r w:rsidRPr="00F330DC">
        <w:rPr>
          <w:b/>
        </w:rPr>
        <w:t xml:space="preserve">.  </w:t>
      </w:r>
    </w:p>
    <w:p w:rsidR="00FC0C1F" w:rsidRPr="00F51F33" w:rsidRDefault="00FC0C1F" w:rsidP="00FC0C1F"/>
    <w:p w:rsidR="00FC0C1F" w:rsidRPr="00F51F33" w:rsidRDefault="00FC0C1F" w:rsidP="00FC0C1F"/>
    <w:p w:rsidR="00FC0C1F" w:rsidRDefault="00F51F33" w:rsidP="00FC0C1F">
      <w:pPr>
        <w:rPr>
          <w:b/>
        </w:rPr>
      </w:pPr>
      <w:r>
        <w:rPr>
          <w:b/>
        </w:rPr>
        <w:t>Please complete the requested information in the table shown below.</w:t>
      </w:r>
    </w:p>
    <w:p w:rsidR="00FC0C1F" w:rsidRDefault="00FC0C1F" w:rsidP="00FC0C1F">
      <w:pPr>
        <w:rPr>
          <w:b/>
        </w:rPr>
      </w:pPr>
    </w:p>
    <w:tbl>
      <w:tblPr>
        <w:tblStyle w:val="TableGrid"/>
        <w:tblW w:w="5000" w:type="pct"/>
        <w:tblLook w:val="01E0"/>
      </w:tblPr>
      <w:tblGrid>
        <w:gridCol w:w="3528"/>
        <w:gridCol w:w="1655"/>
        <w:gridCol w:w="1657"/>
        <w:gridCol w:w="1657"/>
        <w:gridCol w:w="1655"/>
      </w:tblGrid>
      <w:tr w:rsidR="00FC0C1F" w:rsidTr="001E4745">
        <w:tc>
          <w:tcPr>
            <w:tcW w:w="1738" w:type="pct"/>
          </w:tcPr>
          <w:p w:rsidR="00FC0C1F" w:rsidRDefault="00FC0C1F" w:rsidP="00355B21">
            <w:pPr>
              <w:jc w:val="center"/>
              <w:rPr>
                <w:b/>
              </w:rPr>
            </w:pPr>
            <w:r>
              <w:rPr>
                <w:b/>
              </w:rPr>
              <w:t>Class Department and Number</w:t>
            </w:r>
          </w:p>
          <w:p w:rsidR="00FC0C1F" w:rsidRDefault="00FC0C1F" w:rsidP="00355B21">
            <w:pPr>
              <w:jc w:val="center"/>
              <w:rPr>
                <w:b/>
              </w:rPr>
            </w:pPr>
            <w:r>
              <w:rPr>
                <w:b/>
              </w:rPr>
              <w:t>(n = number of students)</w:t>
            </w:r>
          </w:p>
        </w:tc>
        <w:tc>
          <w:tcPr>
            <w:tcW w:w="815" w:type="pct"/>
            <w:vAlign w:val="center"/>
          </w:tcPr>
          <w:p w:rsidR="00FC0C1F" w:rsidRDefault="00FC0C1F" w:rsidP="001E4745">
            <w:pPr>
              <w:jc w:val="center"/>
              <w:rPr>
                <w:b/>
              </w:rPr>
            </w:pPr>
            <w:r>
              <w:rPr>
                <w:b/>
              </w:rPr>
              <w:t>Clarity</w:t>
            </w:r>
          </w:p>
        </w:tc>
        <w:tc>
          <w:tcPr>
            <w:tcW w:w="816" w:type="pct"/>
            <w:vAlign w:val="center"/>
          </w:tcPr>
          <w:p w:rsidR="00FC0C1F" w:rsidRDefault="00FC0C1F" w:rsidP="001E4745">
            <w:pPr>
              <w:jc w:val="center"/>
              <w:rPr>
                <w:b/>
              </w:rPr>
            </w:pPr>
            <w:r>
              <w:rPr>
                <w:b/>
              </w:rPr>
              <w:t>Analytic Skill</w:t>
            </w:r>
          </w:p>
        </w:tc>
        <w:tc>
          <w:tcPr>
            <w:tcW w:w="816" w:type="pct"/>
            <w:vAlign w:val="center"/>
          </w:tcPr>
          <w:p w:rsidR="00FC0C1F" w:rsidRDefault="00FC0C1F" w:rsidP="001E4745">
            <w:pPr>
              <w:jc w:val="center"/>
              <w:rPr>
                <w:b/>
              </w:rPr>
            </w:pPr>
            <w:r>
              <w:rPr>
                <w:b/>
              </w:rPr>
              <w:t>Synthetic Skill</w:t>
            </w:r>
          </w:p>
        </w:tc>
        <w:tc>
          <w:tcPr>
            <w:tcW w:w="816" w:type="pct"/>
            <w:vAlign w:val="center"/>
          </w:tcPr>
          <w:p w:rsidR="00FC0C1F" w:rsidRDefault="00FC0C1F" w:rsidP="001E4745">
            <w:pPr>
              <w:jc w:val="center"/>
              <w:rPr>
                <w:b/>
              </w:rPr>
            </w:pPr>
            <w:r>
              <w:rPr>
                <w:b/>
              </w:rPr>
              <w:t>Critical Thinking</w:t>
            </w:r>
          </w:p>
        </w:tc>
      </w:tr>
      <w:tr w:rsidR="00FC0C1F" w:rsidTr="001E4745">
        <w:tc>
          <w:tcPr>
            <w:tcW w:w="1738" w:type="pct"/>
          </w:tcPr>
          <w:p w:rsidR="00FC0C1F" w:rsidRPr="001E4745" w:rsidRDefault="00FC0C1F" w:rsidP="00355B21">
            <w:pPr>
              <w:jc w:val="center"/>
            </w:pPr>
            <w:r w:rsidRPr="001E4745">
              <w:t xml:space="preserve">Number and percent of students receiving a score of </w:t>
            </w:r>
            <w:r w:rsidRPr="001E4745">
              <w:rPr>
                <w:b/>
              </w:rPr>
              <w:t>3</w:t>
            </w:r>
          </w:p>
        </w:tc>
        <w:tc>
          <w:tcPr>
            <w:tcW w:w="815" w:type="pct"/>
          </w:tcPr>
          <w:p w:rsidR="00FC0C1F" w:rsidRDefault="00FC0C1F" w:rsidP="00FC0C1F">
            <w:pPr>
              <w:rPr>
                <w:b/>
              </w:rPr>
            </w:pPr>
          </w:p>
        </w:tc>
        <w:tc>
          <w:tcPr>
            <w:tcW w:w="816" w:type="pct"/>
          </w:tcPr>
          <w:p w:rsidR="00FC0C1F" w:rsidRDefault="00FC0C1F" w:rsidP="00FC0C1F">
            <w:pPr>
              <w:rPr>
                <w:b/>
              </w:rPr>
            </w:pPr>
          </w:p>
        </w:tc>
        <w:tc>
          <w:tcPr>
            <w:tcW w:w="816" w:type="pct"/>
          </w:tcPr>
          <w:p w:rsidR="00FC0C1F" w:rsidRDefault="00FC0C1F" w:rsidP="00FC0C1F">
            <w:pPr>
              <w:rPr>
                <w:b/>
              </w:rPr>
            </w:pPr>
          </w:p>
        </w:tc>
        <w:tc>
          <w:tcPr>
            <w:tcW w:w="816" w:type="pct"/>
          </w:tcPr>
          <w:p w:rsidR="00FC0C1F" w:rsidRDefault="00FC0C1F" w:rsidP="00FC0C1F">
            <w:pPr>
              <w:rPr>
                <w:b/>
              </w:rPr>
            </w:pPr>
          </w:p>
        </w:tc>
      </w:tr>
      <w:tr w:rsidR="00FC0C1F" w:rsidTr="001E4745">
        <w:tc>
          <w:tcPr>
            <w:tcW w:w="1738" w:type="pct"/>
          </w:tcPr>
          <w:p w:rsidR="00FC0C1F" w:rsidRPr="001E4745" w:rsidRDefault="00FC0C1F" w:rsidP="00355B21">
            <w:pPr>
              <w:jc w:val="center"/>
            </w:pPr>
            <w:r w:rsidRPr="001E4745">
              <w:t xml:space="preserve">Number and percent of students receiving a score of </w:t>
            </w:r>
            <w:r w:rsidRPr="001E4745">
              <w:rPr>
                <w:b/>
              </w:rPr>
              <w:t>2</w:t>
            </w:r>
          </w:p>
        </w:tc>
        <w:tc>
          <w:tcPr>
            <w:tcW w:w="815" w:type="pct"/>
          </w:tcPr>
          <w:p w:rsidR="00FC0C1F" w:rsidRDefault="00FC0C1F" w:rsidP="00FC0C1F">
            <w:pPr>
              <w:rPr>
                <w:b/>
              </w:rPr>
            </w:pPr>
          </w:p>
        </w:tc>
        <w:tc>
          <w:tcPr>
            <w:tcW w:w="816" w:type="pct"/>
          </w:tcPr>
          <w:p w:rsidR="00FC0C1F" w:rsidRDefault="00FC0C1F" w:rsidP="00FC0C1F">
            <w:pPr>
              <w:rPr>
                <w:b/>
              </w:rPr>
            </w:pPr>
          </w:p>
        </w:tc>
        <w:tc>
          <w:tcPr>
            <w:tcW w:w="816" w:type="pct"/>
          </w:tcPr>
          <w:p w:rsidR="00FC0C1F" w:rsidRDefault="00FC0C1F" w:rsidP="00FC0C1F">
            <w:pPr>
              <w:rPr>
                <w:b/>
              </w:rPr>
            </w:pPr>
          </w:p>
        </w:tc>
        <w:tc>
          <w:tcPr>
            <w:tcW w:w="816" w:type="pct"/>
          </w:tcPr>
          <w:p w:rsidR="00FC0C1F" w:rsidRDefault="00FC0C1F" w:rsidP="00FC0C1F">
            <w:pPr>
              <w:rPr>
                <w:b/>
              </w:rPr>
            </w:pPr>
          </w:p>
        </w:tc>
      </w:tr>
      <w:tr w:rsidR="00FC0C1F" w:rsidTr="001E4745">
        <w:tc>
          <w:tcPr>
            <w:tcW w:w="1738" w:type="pct"/>
          </w:tcPr>
          <w:p w:rsidR="00FC0C1F" w:rsidRPr="001E4745" w:rsidRDefault="00FC0C1F" w:rsidP="00355B21">
            <w:pPr>
              <w:jc w:val="center"/>
            </w:pPr>
            <w:r w:rsidRPr="001E4745">
              <w:t xml:space="preserve">Number and percent of students receiving a score of </w:t>
            </w:r>
            <w:r w:rsidRPr="001E4745">
              <w:rPr>
                <w:b/>
              </w:rPr>
              <w:t>1</w:t>
            </w:r>
          </w:p>
        </w:tc>
        <w:tc>
          <w:tcPr>
            <w:tcW w:w="815" w:type="pct"/>
          </w:tcPr>
          <w:p w:rsidR="00FC0C1F" w:rsidRDefault="00FC0C1F" w:rsidP="00FC0C1F">
            <w:pPr>
              <w:rPr>
                <w:b/>
              </w:rPr>
            </w:pPr>
          </w:p>
        </w:tc>
        <w:tc>
          <w:tcPr>
            <w:tcW w:w="816" w:type="pct"/>
          </w:tcPr>
          <w:p w:rsidR="00FC0C1F" w:rsidRDefault="00FC0C1F" w:rsidP="00FC0C1F">
            <w:pPr>
              <w:rPr>
                <w:b/>
              </w:rPr>
            </w:pPr>
          </w:p>
        </w:tc>
        <w:tc>
          <w:tcPr>
            <w:tcW w:w="816" w:type="pct"/>
          </w:tcPr>
          <w:p w:rsidR="00FC0C1F" w:rsidRDefault="00FC0C1F" w:rsidP="00FC0C1F">
            <w:pPr>
              <w:rPr>
                <w:b/>
              </w:rPr>
            </w:pPr>
          </w:p>
        </w:tc>
        <w:tc>
          <w:tcPr>
            <w:tcW w:w="816" w:type="pct"/>
          </w:tcPr>
          <w:p w:rsidR="00FC0C1F" w:rsidRDefault="00FC0C1F" w:rsidP="00FC0C1F">
            <w:pPr>
              <w:rPr>
                <w:b/>
              </w:rPr>
            </w:pPr>
          </w:p>
        </w:tc>
      </w:tr>
      <w:tr w:rsidR="00FC0C1F" w:rsidTr="001E4745">
        <w:tc>
          <w:tcPr>
            <w:tcW w:w="1738" w:type="pct"/>
          </w:tcPr>
          <w:p w:rsidR="00FC0C1F" w:rsidRDefault="00FC0C1F" w:rsidP="00355B21">
            <w:pPr>
              <w:jc w:val="center"/>
              <w:rPr>
                <w:b/>
              </w:rPr>
            </w:pPr>
            <w:r>
              <w:rPr>
                <w:b/>
              </w:rPr>
              <w:t>Mean Student Score</w:t>
            </w:r>
          </w:p>
        </w:tc>
        <w:tc>
          <w:tcPr>
            <w:tcW w:w="815" w:type="pct"/>
          </w:tcPr>
          <w:p w:rsidR="00FC0C1F" w:rsidRDefault="00FC0C1F" w:rsidP="00FC0C1F">
            <w:pPr>
              <w:rPr>
                <w:b/>
              </w:rPr>
            </w:pPr>
          </w:p>
        </w:tc>
        <w:tc>
          <w:tcPr>
            <w:tcW w:w="816" w:type="pct"/>
          </w:tcPr>
          <w:p w:rsidR="00FC0C1F" w:rsidRDefault="00FC0C1F" w:rsidP="00FC0C1F">
            <w:pPr>
              <w:rPr>
                <w:b/>
              </w:rPr>
            </w:pPr>
          </w:p>
        </w:tc>
        <w:tc>
          <w:tcPr>
            <w:tcW w:w="816" w:type="pct"/>
          </w:tcPr>
          <w:p w:rsidR="00FC0C1F" w:rsidRDefault="00FC0C1F" w:rsidP="00FC0C1F">
            <w:pPr>
              <w:rPr>
                <w:b/>
              </w:rPr>
            </w:pPr>
          </w:p>
        </w:tc>
        <w:tc>
          <w:tcPr>
            <w:tcW w:w="816" w:type="pct"/>
          </w:tcPr>
          <w:p w:rsidR="00FC0C1F" w:rsidRDefault="00FC0C1F" w:rsidP="00FC0C1F">
            <w:pPr>
              <w:rPr>
                <w:b/>
              </w:rPr>
            </w:pPr>
          </w:p>
        </w:tc>
      </w:tr>
    </w:tbl>
    <w:p w:rsidR="00FC0C1F" w:rsidRDefault="00FC0C1F" w:rsidP="00FC0C1F"/>
    <w:p w:rsidR="001E4745" w:rsidRPr="001E7FFC" w:rsidRDefault="001E4745" w:rsidP="001E4745">
      <w:pPr>
        <w:rPr>
          <w:b/>
        </w:rPr>
      </w:pPr>
      <w:r>
        <w:rPr>
          <w:b/>
        </w:rPr>
        <w:t xml:space="preserve">Do you have any additional </w:t>
      </w:r>
      <w:r w:rsidRPr="00F330DC">
        <w:rPr>
          <w:b/>
        </w:rPr>
        <w:t>observations, questions, or need for information?</w:t>
      </w:r>
    </w:p>
    <w:p w:rsidR="001E4745" w:rsidRDefault="001E4745" w:rsidP="00FC0C1F"/>
    <w:p w:rsidR="001E4745" w:rsidRDefault="001E4745" w:rsidP="00FC0C1F"/>
    <w:p w:rsidR="00F51F33" w:rsidRPr="001E4745" w:rsidRDefault="00F51F33" w:rsidP="00FC0C1F">
      <w:pPr>
        <w:rPr>
          <w:b/>
          <w:i/>
        </w:rPr>
      </w:pPr>
      <w:r w:rsidRPr="001E4745">
        <w:rPr>
          <w:b/>
          <w:i/>
        </w:rPr>
        <w:t>As an example, a completed table might look like:</w:t>
      </w:r>
    </w:p>
    <w:p w:rsidR="00F51F33" w:rsidRPr="001E4745" w:rsidRDefault="00F51F33" w:rsidP="00FC0C1F">
      <w:pPr>
        <w:rPr>
          <w:b/>
          <w:i/>
        </w:rPr>
      </w:pPr>
    </w:p>
    <w:tbl>
      <w:tblPr>
        <w:tblStyle w:val="TableGrid"/>
        <w:tblW w:w="5000" w:type="pct"/>
        <w:tblLook w:val="01E0"/>
      </w:tblPr>
      <w:tblGrid>
        <w:gridCol w:w="3528"/>
        <w:gridCol w:w="1655"/>
        <w:gridCol w:w="1657"/>
        <w:gridCol w:w="1657"/>
        <w:gridCol w:w="1655"/>
      </w:tblGrid>
      <w:tr w:rsidR="00F51F33" w:rsidTr="001E4745">
        <w:tc>
          <w:tcPr>
            <w:tcW w:w="1738" w:type="pct"/>
          </w:tcPr>
          <w:p w:rsidR="00F51F33" w:rsidRDefault="002041E4" w:rsidP="001E4745">
            <w:pPr>
              <w:jc w:val="center"/>
              <w:rPr>
                <w:b/>
              </w:rPr>
            </w:pPr>
            <w:r>
              <w:rPr>
                <w:b/>
              </w:rPr>
              <w:t>ECON 351</w:t>
            </w:r>
          </w:p>
          <w:p w:rsidR="00F51F33" w:rsidRDefault="00F51F33" w:rsidP="001E4745">
            <w:pPr>
              <w:jc w:val="center"/>
              <w:rPr>
                <w:b/>
              </w:rPr>
            </w:pPr>
            <w:r>
              <w:rPr>
                <w:b/>
              </w:rPr>
              <w:t>(n = 20)</w:t>
            </w:r>
          </w:p>
        </w:tc>
        <w:tc>
          <w:tcPr>
            <w:tcW w:w="815" w:type="pct"/>
            <w:vAlign w:val="center"/>
          </w:tcPr>
          <w:p w:rsidR="00F51F33" w:rsidRDefault="00F51F33" w:rsidP="001E4745">
            <w:pPr>
              <w:jc w:val="center"/>
              <w:rPr>
                <w:b/>
              </w:rPr>
            </w:pPr>
            <w:r>
              <w:rPr>
                <w:b/>
              </w:rPr>
              <w:t>Clarity</w:t>
            </w:r>
          </w:p>
        </w:tc>
        <w:tc>
          <w:tcPr>
            <w:tcW w:w="816" w:type="pct"/>
            <w:vAlign w:val="center"/>
          </w:tcPr>
          <w:p w:rsidR="00F51F33" w:rsidRDefault="00F51F33" w:rsidP="001E4745">
            <w:pPr>
              <w:jc w:val="center"/>
              <w:rPr>
                <w:b/>
              </w:rPr>
            </w:pPr>
            <w:r>
              <w:rPr>
                <w:b/>
              </w:rPr>
              <w:t>Analytic Skill</w:t>
            </w:r>
          </w:p>
        </w:tc>
        <w:tc>
          <w:tcPr>
            <w:tcW w:w="816" w:type="pct"/>
            <w:vAlign w:val="center"/>
          </w:tcPr>
          <w:p w:rsidR="00F51F33" w:rsidRDefault="00F51F33" w:rsidP="001E4745">
            <w:pPr>
              <w:jc w:val="center"/>
              <w:rPr>
                <w:b/>
              </w:rPr>
            </w:pPr>
            <w:r>
              <w:rPr>
                <w:b/>
              </w:rPr>
              <w:t>Synthetic Skill</w:t>
            </w:r>
          </w:p>
        </w:tc>
        <w:tc>
          <w:tcPr>
            <w:tcW w:w="816" w:type="pct"/>
            <w:vAlign w:val="center"/>
          </w:tcPr>
          <w:p w:rsidR="00F51F33" w:rsidRDefault="00F51F33" w:rsidP="001E4745">
            <w:pPr>
              <w:jc w:val="center"/>
              <w:rPr>
                <w:b/>
              </w:rPr>
            </w:pPr>
            <w:r>
              <w:rPr>
                <w:b/>
              </w:rPr>
              <w:t>Critical Thinking</w:t>
            </w:r>
          </w:p>
        </w:tc>
      </w:tr>
      <w:tr w:rsidR="00F51F33" w:rsidTr="001E4745">
        <w:tc>
          <w:tcPr>
            <w:tcW w:w="1738" w:type="pct"/>
          </w:tcPr>
          <w:p w:rsidR="00F51F33" w:rsidRPr="001E4745" w:rsidRDefault="00F51F33" w:rsidP="001E4745">
            <w:pPr>
              <w:jc w:val="center"/>
            </w:pPr>
            <w:r w:rsidRPr="001E4745">
              <w:t>Number and percent of students receiving a score of 3</w:t>
            </w:r>
          </w:p>
        </w:tc>
        <w:tc>
          <w:tcPr>
            <w:tcW w:w="815" w:type="pct"/>
          </w:tcPr>
          <w:p w:rsidR="001E4745" w:rsidRDefault="00F51F33" w:rsidP="00505DFF">
            <w:pPr>
              <w:jc w:val="center"/>
            </w:pPr>
            <w:r w:rsidRPr="00505DFF">
              <w:t xml:space="preserve">5 </w:t>
            </w:r>
          </w:p>
          <w:p w:rsidR="00F51F33" w:rsidRPr="00505DFF" w:rsidRDefault="00F51F33" w:rsidP="00505DFF">
            <w:pPr>
              <w:jc w:val="center"/>
            </w:pPr>
            <w:r w:rsidRPr="00505DFF">
              <w:t>(25%)</w:t>
            </w:r>
          </w:p>
        </w:tc>
        <w:tc>
          <w:tcPr>
            <w:tcW w:w="816" w:type="pct"/>
          </w:tcPr>
          <w:p w:rsidR="001E4745" w:rsidRDefault="00F51F33" w:rsidP="00505DFF">
            <w:pPr>
              <w:jc w:val="center"/>
            </w:pPr>
            <w:r w:rsidRPr="00505DFF">
              <w:t xml:space="preserve">8 </w:t>
            </w:r>
          </w:p>
          <w:p w:rsidR="00F51F33" w:rsidRPr="00505DFF" w:rsidRDefault="00F51F33" w:rsidP="00505DFF">
            <w:pPr>
              <w:jc w:val="center"/>
            </w:pPr>
            <w:r w:rsidRPr="00505DFF">
              <w:t>(40%)</w:t>
            </w:r>
          </w:p>
        </w:tc>
        <w:tc>
          <w:tcPr>
            <w:tcW w:w="816" w:type="pct"/>
          </w:tcPr>
          <w:p w:rsidR="001E4745" w:rsidRDefault="00F51F33" w:rsidP="00505DFF">
            <w:pPr>
              <w:jc w:val="center"/>
            </w:pPr>
            <w:r w:rsidRPr="00505DFF">
              <w:t xml:space="preserve">2 </w:t>
            </w:r>
          </w:p>
          <w:p w:rsidR="00F51F33" w:rsidRPr="00505DFF" w:rsidRDefault="00F51F33" w:rsidP="00505DFF">
            <w:pPr>
              <w:jc w:val="center"/>
            </w:pPr>
            <w:r w:rsidRPr="00505DFF">
              <w:t>(10%)</w:t>
            </w:r>
          </w:p>
        </w:tc>
        <w:tc>
          <w:tcPr>
            <w:tcW w:w="816" w:type="pct"/>
          </w:tcPr>
          <w:p w:rsidR="001E4745" w:rsidRDefault="00F51F33" w:rsidP="00505DFF">
            <w:pPr>
              <w:jc w:val="center"/>
            </w:pPr>
            <w:r w:rsidRPr="00505DFF">
              <w:t xml:space="preserve">3 </w:t>
            </w:r>
          </w:p>
          <w:p w:rsidR="00F51F33" w:rsidRPr="00505DFF" w:rsidRDefault="00F51F33" w:rsidP="00505DFF">
            <w:pPr>
              <w:jc w:val="center"/>
            </w:pPr>
            <w:r w:rsidRPr="00505DFF">
              <w:t>(15%)</w:t>
            </w:r>
          </w:p>
        </w:tc>
      </w:tr>
      <w:tr w:rsidR="00F51F33" w:rsidTr="001E4745">
        <w:tc>
          <w:tcPr>
            <w:tcW w:w="1738" w:type="pct"/>
          </w:tcPr>
          <w:p w:rsidR="00F51F33" w:rsidRPr="001E4745" w:rsidRDefault="00F51F33" w:rsidP="001E4745">
            <w:pPr>
              <w:jc w:val="center"/>
            </w:pPr>
            <w:r w:rsidRPr="001E4745">
              <w:t>Number and percent of students receiving a score of 2</w:t>
            </w:r>
          </w:p>
        </w:tc>
        <w:tc>
          <w:tcPr>
            <w:tcW w:w="815" w:type="pct"/>
          </w:tcPr>
          <w:p w:rsidR="001E4745" w:rsidRDefault="00F51F33" w:rsidP="00505DFF">
            <w:pPr>
              <w:jc w:val="center"/>
            </w:pPr>
            <w:r w:rsidRPr="00505DFF">
              <w:t xml:space="preserve">10 </w:t>
            </w:r>
          </w:p>
          <w:p w:rsidR="00F51F33" w:rsidRPr="00505DFF" w:rsidRDefault="00F51F33" w:rsidP="00505DFF">
            <w:pPr>
              <w:jc w:val="center"/>
            </w:pPr>
            <w:r w:rsidRPr="00505DFF">
              <w:t>(50%)</w:t>
            </w:r>
          </w:p>
        </w:tc>
        <w:tc>
          <w:tcPr>
            <w:tcW w:w="816" w:type="pct"/>
          </w:tcPr>
          <w:p w:rsidR="001E4745" w:rsidRDefault="00F51F33" w:rsidP="00505DFF">
            <w:pPr>
              <w:jc w:val="center"/>
            </w:pPr>
            <w:r w:rsidRPr="00505DFF">
              <w:t xml:space="preserve">12 </w:t>
            </w:r>
          </w:p>
          <w:p w:rsidR="00F51F33" w:rsidRPr="00505DFF" w:rsidRDefault="00F51F33" w:rsidP="00505DFF">
            <w:pPr>
              <w:jc w:val="center"/>
            </w:pPr>
            <w:r w:rsidRPr="00505DFF">
              <w:t>(60%)</w:t>
            </w:r>
          </w:p>
        </w:tc>
        <w:tc>
          <w:tcPr>
            <w:tcW w:w="816" w:type="pct"/>
          </w:tcPr>
          <w:p w:rsidR="001E4745" w:rsidRDefault="00F51F33" w:rsidP="00505DFF">
            <w:pPr>
              <w:jc w:val="center"/>
            </w:pPr>
            <w:r w:rsidRPr="00505DFF">
              <w:t xml:space="preserve">4 </w:t>
            </w:r>
          </w:p>
          <w:p w:rsidR="00F51F33" w:rsidRPr="00505DFF" w:rsidRDefault="00F51F33" w:rsidP="00505DFF">
            <w:pPr>
              <w:jc w:val="center"/>
            </w:pPr>
            <w:r w:rsidRPr="00505DFF">
              <w:t>(20%)</w:t>
            </w:r>
          </w:p>
        </w:tc>
        <w:tc>
          <w:tcPr>
            <w:tcW w:w="816" w:type="pct"/>
          </w:tcPr>
          <w:p w:rsidR="001E4745" w:rsidRDefault="00F51F33" w:rsidP="00505DFF">
            <w:pPr>
              <w:jc w:val="center"/>
            </w:pPr>
            <w:r w:rsidRPr="00505DFF">
              <w:t xml:space="preserve">6 </w:t>
            </w:r>
          </w:p>
          <w:p w:rsidR="00F51F33" w:rsidRPr="00505DFF" w:rsidRDefault="00F51F33" w:rsidP="00505DFF">
            <w:pPr>
              <w:jc w:val="center"/>
            </w:pPr>
            <w:r w:rsidRPr="00505DFF">
              <w:t>(30%)</w:t>
            </w:r>
          </w:p>
        </w:tc>
      </w:tr>
      <w:tr w:rsidR="00F51F33" w:rsidTr="001E4745">
        <w:tc>
          <w:tcPr>
            <w:tcW w:w="1738" w:type="pct"/>
          </w:tcPr>
          <w:p w:rsidR="00F51F33" w:rsidRPr="001E4745" w:rsidRDefault="00F51F33" w:rsidP="001E4745">
            <w:pPr>
              <w:jc w:val="center"/>
            </w:pPr>
            <w:r w:rsidRPr="001E4745">
              <w:t>Number and percent of students receiving a score of 1</w:t>
            </w:r>
          </w:p>
        </w:tc>
        <w:tc>
          <w:tcPr>
            <w:tcW w:w="815" w:type="pct"/>
          </w:tcPr>
          <w:p w:rsidR="001E4745" w:rsidRDefault="00F51F33" w:rsidP="00505DFF">
            <w:pPr>
              <w:jc w:val="center"/>
            </w:pPr>
            <w:r w:rsidRPr="00505DFF">
              <w:t xml:space="preserve">5 </w:t>
            </w:r>
          </w:p>
          <w:p w:rsidR="00F51F33" w:rsidRPr="00505DFF" w:rsidRDefault="00F51F33" w:rsidP="00505DFF">
            <w:pPr>
              <w:jc w:val="center"/>
            </w:pPr>
            <w:r w:rsidRPr="00505DFF">
              <w:t>(25%)</w:t>
            </w:r>
          </w:p>
        </w:tc>
        <w:tc>
          <w:tcPr>
            <w:tcW w:w="816" w:type="pct"/>
          </w:tcPr>
          <w:p w:rsidR="001E4745" w:rsidRDefault="00F51F33" w:rsidP="00505DFF">
            <w:pPr>
              <w:jc w:val="center"/>
            </w:pPr>
            <w:r w:rsidRPr="00505DFF">
              <w:t xml:space="preserve">0 </w:t>
            </w:r>
          </w:p>
          <w:p w:rsidR="00F51F33" w:rsidRPr="00505DFF" w:rsidRDefault="00F51F33" w:rsidP="00505DFF">
            <w:pPr>
              <w:jc w:val="center"/>
            </w:pPr>
            <w:r w:rsidRPr="00505DFF">
              <w:t>(0%)</w:t>
            </w:r>
          </w:p>
        </w:tc>
        <w:tc>
          <w:tcPr>
            <w:tcW w:w="816" w:type="pct"/>
          </w:tcPr>
          <w:p w:rsidR="001E4745" w:rsidRDefault="00F51F33" w:rsidP="00505DFF">
            <w:pPr>
              <w:jc w:val="center"/>
            </w:pPr>
            <w:r w:rsidRPr="00505DFF">
              <w:t xml:space="preserve">14 </w:t>
            </w:r>
          </w:p>
          <w:p w:rsidR="00F51F33" w:rsidRPr="00505DFF" w:rsidRDefault="00F51F33" w:rsidP="00505DFF">
            <w:pPr>
              <w:jc w:val="center"/>
            </w:pPr>
            <w:r w:rsidRPr="00505DFF">
              <w:t>(70%)</w:t>
            </w:r>
          </w:p>
        </w:tc>
        <w:tc>
          <w:tcPr>
            <w:tcW w:w="816" w:type="pct"/>
          </w:tcPr>
          <w:p w:rsidR="001E4745" w:rsidRDefault="00F51F33" w:rsidP="00505DFF">
            <w:pPr>
              <w:jc w:val="center"/>
            </w:pPr>
            <w:r w:rsidRPr="00505DFF">
              <w:t xml:space="preserve">13 </w:t>
            </w:r>
          </w:p>
          <w:p w:rsidR="00F51F33" w:rsidRPr="00505DFF" w:rsidRDefault="00F51F33" w:rsidP="00505DFF">
            <w:pPr>
              <w:jc w:val="center"/>
            </w:pPr>
            <w:r w:rsidRPr="00505DFF">
              <w:t>(55%)</w:t>
            </w:r>
          </w:p>
        </w:tc>
      </w:tr>
      <w:tr w:rsidR="00F51F33" w:rsidTr="001E4745">
        <w:tc>
          <w:tcPr>
            <w:tcW w:w="1738" w:type="pct"/>
          </w:tcPr>
          <w:p w:rsidR="00F51F33" w:rsidRDefault="00F51F33" w:rsidP="001E4745">
            <w:pPr>
              <w:jc w:val="center"/>
              <w:rPr>
                <w:b/>
              </w:rPr>
            </w:pPr>
            <w:r>
              <w:rPr>
                <w:b/>
              </w:rPr>
              <w:t xml:space="preserve">Mean </w:t>
            </w:r>
            <w:r w:rsidR="001E4745">
              <w:rPr>
                <w:b/>
              </w:rPr>
              <w:t xml:space="preserve">Student </w:t>
            </w:r>
            <w:r>
              <w:rPr>
                <w:b/>
              </w:rPr>
              <w:t>Score</w:t>
            </w:r>
          </w:p>
        </w:tc>
        <w:tc>
          <w:tcPr>
            <w:tcW w:w="815" w:type="pct"/>
          </w:tcPr>
          <w:p w:rsidR="00F51F33" w:rsidRPr="00505DFF" w:rsidRDefault="00F51F33" w:rsidP="00505DFF">
            <w:pPr>
              <w:jc w:val="center"/>
            </w:pPr>
            <w:r w:rsidRPr="00505DFF">
              <w:t>2.00</w:t>
            </w:r>
          </w:p>
        </w:tc>
        <w:tc>
          <w:tcPr>
            <w:tcW w:w="816" w:type="pct"/>
          </w:tcPr>
          <w:p w:rsidR="00F51F33" w:rsidRPr="00505DFF" w:rsidRDefault="00F51F33" w:rsidP="00505DFF">
            <w:pPr>
              <w:jc w:val="center"/>
            </w:pPr>
            <w:r w:rsidRPr="00505DFF">
              <w:t>2.40</w:t>
            </w:r>
          </w:p>
        </w:tc>
        <w:tc>
          <w:tcPr>
            <w:tcW w:w="816" w:type="pct"/>
          </w:tcPr>
          <w:p w:rsidR="00F51F33" w:rsidRPr="00505DFF" w:rsidRDefault="00F51F33" w:rsidP="00505DFF">
            <w:pPr>
              <w:jc w:val="center"/>
            </w:pPr>
            <w:r w:rsidRPr="00505DFF">
              <w:t>1.40</w:t>
            </w:r>
          </w:p>
        </w:tc>
        <w:tc>
          <w:tcPr>
            <w:tcW w:w="816" w:type="pct"/>
          </w:tcPr>
          <w:p w:rsidR="00F51F33" w:rsidRPr="00505DFF" w:rsidRDefault="00505DFF" w:rsidP="00505DFF">
            <w:pPr>
              <w:jc w:val="center"/>
            </w:pPr>
            <w:r w:rsidRPr="00505DFF">
              <w:t>1.70</w:t>
            </w:r>
          </w:p>
        </w:tc>
      </w:tr>
    </w:tbl>
    <w:p w:rsidR="0050291F" w:rsidRPr="00FC0C1F" w:rsidRDefault="0050291F" w:rsidP="00FC0C1F"/>
    <w:sectPr w:rsidR="0050291F" w:rsidRPr="00FC0C1F" w:rsidSect="00F51F33">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15886"/>
    <w:multiLevelType w:val="hybridMultilevel"/>
    <w:tmpl w:val="1E2A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7A7254"/>
    <w:multiLevelType w:val="hybridMultilevel"/>
    <w:tmpl w:val="67CC9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BE55D6"/>
    <w:multiLevelType w:val="hybridMultilevel"/>
    <w:tmpl w:val="E4AE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0C1F"/>
    <w:rsid w:val="0012769A"/>
    <w:rsid w:val="001C47A2"/>
    <w:rsid w:val="001E4745"/>
    <w:rsid w:val="002030D8"/>
    <w:rsid w:val="002041E4"/>
    <w:rsid w:val="00355B21"/>
    <w:rsid w:val="0050291F"/>
    <w:rsid w:val="00505DFF"/>
    <w:rsid w:val="0053077A"/>
    <w:rsid w:val="006D0098"/>
    <w:rsid w:val="008D0E92"/>
    <w:rsid w:val="00F51F33"/>
    <w:rsid w:val="00FC0C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C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618</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 Course: Assessment Summary</vt:lpstr>
    </vt:vector>
  </TitlesOfParts>
  <Company>Centenary College of Louisiana</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Course: Assessment Summary</dc:title>
  <dc:subject/>
  <dc:creator>dhoaas</dc:creator>
  <cp:keywords/>
  <dc:description/>
  <cp:lastModifiedBy>ksoul</cp:lastModifiedBy>
  <cp:revision>3</cp:revision>
  <dcterms:created xsi:type="dcterms:W3CDTF">2012-08-16T19:08:00Z</dcterms:created>
  <dcterms:modified xsi:type="dcterms:W3CDTF">2012-08-16T19:41:00Z</dcterms:modified>
</cp:coreProperties>
</file>